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DB39" w14:textId="77777777" w:rsidR="00602EBD" w:rsidRPr="001C5919" w:rsidRDefault="00602EBD"/>
    <w:tbl>
      <w:tblPr>
        <w:tblpPr w:leftFromText="180" w:rightFromText="180" w:vertAnchor="text" w:horzAnchor="margin" w:tblpY="-411"/>
        <w:tblW w:w="652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DAEEF3"/>
        <w:tblLook w:val="04A0" w:firstRow="1" w:lastRow="0" w:firstColumn="1" w:lastColumn="0" w:noHBand="0" w:noVBand="1"/>
      </w:tblPr>
      <w:tblGrid>
        <w:gridCol w:w="2268"/>
        <w:gridCol w:w="4253"/>
      </w:tblGrid>
      <w:tr w:rsidR="0054230D" w:rsidRPr="001C5919" w14:paraId="04BFD338" w14:textId="77777777" w:rsidTr="0054230D">
        <w:tc>
          <w:tcPr>
            <w:tcW w:w="6521" w:type="dxa"/>
            <w:gridSpan w:val="2"/>
            <w:tcBorders>
              <w:top w:val="none" w:sz="255" w:space="0" w:color="FFFFFF"/>
              <w:left w:val="none" w:sz="255" w:space="0" w:color="FFFFFF"/>
              <w:bottom w:val="single" w:sz="8" w:space="0" w:color="7BA0CD"/>
              <w:right w:val="none" w:sz="255" w:space="0" w:color="FFFFFF"/>
            </w:tcBorders>
          </w:tcPr>
          <w:p w14:paraId="0084E131" w14:textId="77777777" w:rsidR="0054230D" w:rsidRPr="001C5919" w:rsidRDefault="00AF6C3A" w:rsidP="0054230D">
            <w:pPr>
              <w:spacing w:before="120" w:after="0" w:line="240" w:lineRule="auto"/>
              <w:rPr>
                <w:b/>
                <w:bCs/>
                <w:color w:val="0070C0"/>
                <w:sz w:val="28"/>
              </w:rPr>
            </w:pPr>
            <w:r w:rsidRPr="001C5919">
              <w:rPr>
                <w:b/>
                <w:bCs/>
                <w:color w:val="0070C0"/>
                <w:sz w:val="28"/>
              </w:rPr>
              <w:t>АЕРС  - Завршна консултација о предлогу акта</w:t>
            </w:r>
          </w:p>
        </w:tc>
      </w:tr>
      <w:tr w:rsidR="0054230D" w:rsidRPr="001C5919" w14:paraId="5EEB3318" w14:textId="77777777" w:rsidTr="0054230D">
        <w:trPr>
          <w:trHeight w:val="788"/>
        </w:trPr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  <w:vAlign w:val="center"/>
          </w:tcPr>
          <w:p w14:paraId="4E16CA95" w14:textId="77777777" w:rsidR="0054230D" w:rsidRPr="001C5919" w:rsidRDefault="00AF6C3A" w:rsidP="0054230D">
            <w:pPr>
              <w:spacing w:before="120" w:after="0"/>
              <w:rPr>
                <w:b/>
                <w:bCs/>
              </w:rPr>
            </w:pPr>
            <w:r w:rsidRPr="001C5919">
              <w:rPr>
                <w:b/>
                <w:bCs/>
              </w:rPr>
              <w:t>Документ: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CC"/>
            <w:vAlign w:val="center"/>
          </w:tcPr>
          <w:p w14:paraId="5B66A727" w14:textId="77777777" w:rsidR="00AF6C3A" w:rsidRPr="001C5919" w:rsidRDefault="00AF6C3A" w:rsidP="00AF6C3A">
            <w:pPr>
              <w:pStyle w:val="NoSpacing"/>
              <w:jc w:val="both"/>
              <w:rPr>
                <w:rFonts w:ascii="Arial Narrow" w:hAnsi="Arial Narrow"/>
                <w:lang w:val="sr-Cyrl-RS"/>
              </w:rPr>
            </w:pPr>
            <w:r w:rsidRPr="001C5919">
              <w:rPr>
                <w:rFonts w:ascii="Arial Narrow" w:hAnsi="Arial Narrow"/>
                <w:lang w:val="sr-Cyrl-RS"/>
              </w:rPr>
              <w:t>Mетодологија за одређивање цене приступа систему за транспорт природног гаса</w:t>
            </w:r>
          </w:p>
          <w:p w14:paraId="0C2768C6" w14:textId="77777777" w:rsidR="0054230D" w:rsidRPr="001C5919" w:rsidRDefault="0054230D" w:rsidP="0054230D">
            <w:pPr>
              <w:spacing w:after="0" w:line="240" w:lineRule="auto"/>
              <w:ind w:right="-111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54230D" w:rsidRPr="001C5919" w14:paraId="44C72044" w14:textId="77777777" w:rsidTr="0054230D"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4" w:space="0" w:color="0070C0"/>
              <w:right w:val="single" w:sz="8" w:space="0" w:color="7BA0CD"/>
            </w:tcBorders>
            <w:shd w:val="clear" w:color="auto" w:fill="8BE1FF"/>
          </w:tcPr>
          <w:p w14:paraId="0013FE48" w14:textId="77777777" w:rsidR="0054230D" w:rsidRPr="001C5919" w:rsidRDefault="00AF6C3A" w:rsidP="0054230D">
            <w:pPr>
              <w:spacing w:before="120" w:after="0"/>
              <w:rPr>
                <w:b/>
                <w:bCs/>
              </w:rPr>
            </w:pPr>
            <w:r w:rsidRPr="001C5919">
              <w:rPr>
                <w:b/>
                <w:bCs/>
              </w:rPr>
              <w:t>Примедбе даје: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4" w:space="0" w:color="0070C0"/>
              <w:right w:val="single" w:sz="8" w:space="0" w:color="7BA0CD"/>
            </w:tcBorders>
            <w:shd w:val="clear" w:color="auto" w:fill="FFFFCC"/>
            <w:vAlign w:val="center"/>
          </w:tcPr>
          <w:p w14:paraId="1A0ECC7A" w14:textId="581F2498" w:rsidR="0054230D" w:rsidRPr="001C5919" w:rsidRDefault="00496174" w:rsidP="0054230D">
            <w:pPr>
              <w:spacing w:before="120" w:after="0"/>
              <w:rPr>
                <w:b/>
              </w:rPr>
            </w:pPr>
            <w:r w:rsidRPr="001C5919">
              <w:rPr>
                <w:spacing w:val="-1"/>
              </w:rPr>
              <w:t>Јавно</w:t>
            </w:r>
            <w:r w:rsidRPr="001C5919">
              <w:rPr>
                <w:spacing w:val="1"/>
              </w:rPr>
              <w:t xml:space="preserve"> </w:t>
            </w:r>
            <w:r w:rsidRPr="001C5919">
              <w:rPr>
                <w:spacing w:val="-1"/>
              </w:rPr>
              <w:t>предузеће</w:t>
            </w:r>
            <w:r w:rsidRPr="001C5919">
              <w:t xml:space="preserve"> </w:t>
            </w:r>
            <w:r w:rsidRPr="001C5919">
              <w:rPr>
                <w:spacing w:val="-1"/>
              </w:rPr>
              <w:t>Србијагас</w:t>
            </w:r>
            <w:r w:rsidRPr="001C5919">
              <w:t xml:space="preserve"> </w:t>
            </w:r>
            <w:r w:rsidRPr="001C5919">
              <w:rPr>
                <w:spacing w:val="-1"/>
              </w:rPr>
              <w:t>Нови</w:t>
            </w:r>
            <w:r w:rsidRPr="001C5919">
              <w:rPr>
                <w:spacing w:val="1"/>
              </w:rPr>
              <w:t xml:space="preserve"> </w:t>
            </w:r>
            <w:r w:rsidRPr="001C5919">
              <w:t>Сад</w:t>
            </w:r>
          </w:p>
        </w:tc>
      </w:tr>
    </w:tbl>
    <w:p w14:paraId="262D9DD3" w14:textId="77777777" w:rsidR="0059327C" w:rsidRPr="001C5919" w:rsidRDefault="0059327C">
      <w:pPr>
        <w:spacing w:after="0"/>
        <w:rPr>
          <w:vanish/>
        </w:rPr>
      </w:pPr>
    </w:p>
    <w:tbl>
      <w:tblPr>
        <w:tblW w:w="6521" w:type="dxa"/>
        <w:tblInd w:w="67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DAEEF3"/>
        <w:tblLook w:val="04A0" w:firstRow="1" w:lastRow="0" w:firstColumn="1" w:lastColumn="0" w:noHBand="0" w:noVBand="1"/>
      </w:tblPr>
      <w:tblGrid>
        <w:gridCol w:w="2268"/>
        <w:gridCol w:w="4253"/>
      </w:tblGrid>
      <w:tr w:rsidR="0059327C" w:rsidRPr="001C5919" w14:paraId="2B735F6D" w14:textId="77777777"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A6A6A6"/>
              <w:right w:val="none" w:sz="255" w:space="0" w:color="FFFFFF"/>
            </w:tcBorders>
          </w:tcPr>
          <w:p w14:paraId="3F0C761A" w14:textId="77777777" w:rsidR="0059327C" w:rsidRPr="001C5919" w:rsidRDefault="0059327C">
            <w:pPr>
              <w:spacing w:before="120" w:after="0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none" w:sz="255" w:space="0" w:color="FFFFFF"/>
              <w:left w:val="none" w:sz="255" w:space="0" w:color="FFFFFF"/>
              <w:bottom w:val="single" w:sz="4" w:space="0" w:color="A6A6A6"/>
              <w:right w:val="none" w:sz="255" w:space="0" w:color="FFFFFF"/>
            </w:tcBorders>
          </w:tcPr>
          <w:p w14:paraId="5C1BA41A" w14:textId="77777777" w:rsidR="0059327C" w:rsidRPr="001C5919" w:rsidRDefault="0059327C">
            <w:pPr>
              <w:spacing w:before="120" w:after="0"/>
            </w:pPr>
          </w:p>
        </w:tc>
      </w:tr>
      <w:tr w:rsidR="0059327C" w:rsidRPr="001C5919" w14:paraId="6FF4A4DF" w14:textId="77777777">
        <w:tc>
          <w:tcPr>
            <w:tcW w:w="2268" w:type="dxa"/>
            <w:tcBorders>
              <w:top w:val="single" w:sz="4" w:space="0" w:color="A6A6A6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0420943F" w14:textId="77777777" w:rsidR="0059327C" w:rsidRPr="001C5919" w:rsidRDefault="00AF6C3A">
            <w:pPr>
              <w:spacing w:before="120" w:after="0"/>
              <w:rPr>
                <w:b/>
                <w:bCs/>
              </w:rPr>
            </w:pPr>
            <w:r w:rsidRPr="001C5919">
              <w:rPr>
                <w:b/>
                <w:bCs/>
              </w:rPr>
              <w:t>Датум: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CC"/>
          </w:tcPr>
          <w:p w14:paraId="70E3D87A" w14:textId="4ECA0D01" w:rsidR="0059327C" w:rsidRPr="001C5919" w:rsidRDefault="00496174">
            <w:pPr>
              <w:spacing w:before="120" w:after="0"/>
              <w:jc w:val="center"/>
              <w:rPr>
                <w:rFonts w:ascii="Arial Narrow" w:eastAsia="Times New Roman" w:hAnsi="Arial Narrow"/>
              </w:rPr>
            </w:pPr>
            <w:r w:rsidRPr="001C5919">
              <w:rPr>
                <w:rFonts w:ascii="Arial Narrow" w:eastAsia="Times New Roman" w:hAnsi="Arial Narrow"/>
              </w:rPr>
              <w:t>20</w:t>
            </w:r>
            <w:r w:rsidR="00EF62B4" w:rsidRPr="001C5919">
              <w:rPr>
                <w:rFonts w:ascii="Arial Narrow" w:eastAsia="Times New Roman" w:hAnsi="Arial Narrow"/>
              </w:rPr>
              <w:t>.05.2024</w:t>
            </w:r>
          </w:p>
        </w:tc>
      </w:tr>
      <w:tr w:rsidR="0059327C" w:rsidRPr="001C5919" w14:paraId="4E5FC70C" w14:textId="77777777"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1765F63A" w14:textId="77777777" w:rsidR="0059327C" w:rsidRPr="001C5919" w:rsidRDefault="00AF6C3A">
            <w:pPr>
              <w:spacing w:before="120" w:after="0"/>
              <w:rPr>
                <w:b/>
                <w:bCs/>
              </w:rPr>
            </w:pPr>
            <w:r w:rsidRPr="001C5919">
              <w:rPr>
                <w:b/>
                <w:bCs/>
              </w:rPr>
              <w:t>Послати на адресу: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3DA3C23F" w14:textId="77777777" w:rsidR="0059327C" w:rsidRPr="001C5919" w:rsidRDefault="00EF62B4">
            <w:pPr>
              <w:spacing w:before="120" w:after="0"/>
              <w:jc w:val="center"/>
              <w:rPr>
                <w:rFonts w:ascii="Arial" w:hAnsi="Arial" w:cs="Arial"/>
                <w:color w:val="000066"/>
                <w:sz w:val="24"/>
                <w:szCs w:val="20"/>
              </w:rPr>
            </w:pPr>
            <w:hyperlink r:id="rId6" w:history="1">
              <w:r w:rsidRPr="001C5919">
                <w:rPr>
                  <w:rStyle w:val="Hyperlink"/>
                  <w:rFonts w:ascii="Arial" w:hAnsi="Arial" w:cs="Arial"/>
                  <w:sz w:val="24"/>
                  <w:szCs w:val="20"/>
                </w:rPr>
                <w:t>aers@aers.rs</w:t>
              </w:r>
            </w:hyperlink>
            <w:r w:rsidRPr="001C5919">
              <w:rPr>
                <w:rFonts w:ascii="Arial" w:hAnsi="Arial" w:cs="Arial"/>
                <w:color w:val="000066"/>
                <w:sz w:val="24"/>
                <w:szCs w:val="20"/>
              </w:rPr>
              <w:t xml:space="preserve"> </w:t>
            </w:r>
          </w:p>
        </w:tc>
      </w:tr>
    </w:tbl>
    <w:p w14:paraId="4B64013C" w14:textId="77777777" w:rsidR="0054230D" w:rsidRPr="001C5919" w:rsidRDefault="0054230D" w:rsidP="00542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6902786" w14:textId="77777777" w:rsidR="00AF6C3A" w:rsidRPr="001C5919" w:rsidRDefault="00AF6C3A" w:rsidP="00AF6C3A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C5919">
        <w:rPr>
          <w:rFonts w:ascii="Arial Narrow" w:hAnsi="Arial Narrow"/>
          <w:b/>
          <w:sz w:val="24"/>
          <w:szCs w:val="24"/>
        </w:rPr>
        <w:t>ОПШТЕ И КОНЦЕПТУАЛНЕ ПРИМЕДБЕ</w:t>
      </w:r>
    </w:p>
    <w:p w14:paraId="73491984" w14:textId="77777777" w:rsidR="0054230D" w:rsidRPr="001C5919" w:rsidRDefault="0054230D" w:rsidP="00542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1556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4660"/>
      </w:tblGrid>
      <w:tr w:rsidR="0059327C" w:rsidRPr="001C5919" w14:paraId="772F62F0" w14:textId="77777777">
        <w:tc>
          <w:tcPr>
            <w:tcW w:w="909" w:type="dxa"/>
            <w:shd w:val="clear" w:color="auto" w:fill="FFFFCD"/>
            <w:vAlign w:val="center"/>
          </w:tcPr>
          <w:p w14:paraId="5664D4FD" w14:textId="77777777" w:rsidR="0059327C" w:rsidRPr="001C5919" w:rsidRDefault="00AF6C3A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5919">
              <w:rPr>
                <w:rFonts w:ascii="Arial Narrow" w:hAnsi="Arial Narrow"/>
                <w:b/>
                <w:sz w:val="24"/>
                <w:szCs w:val="24"/>
              </w:rPr>
              <w:t>Р.б.</w:t>
            </w:r>
          </w:p>
        </w:tc>
        <w:tc>
          <w:tcPr>
            <w:tcW w:w="14660" w:type="dxa"/>
            <w:tcBorders>
              <w:bottom w:val="single" w:sz="4" w:space="0" w:color="000000"/>
            </w:tcBorders>
            <w:shd w:val="clear" w:color="auto" w:fill="FFFFCD"/>
            <w:vAlign w:val="center"/>
          </w:tcPr>
          <w:p w14:paraId="754BC772" w14:textId="77777777" w:rsidR="0059327C" w:rsidRPr="001C5919" w:rsidRDefault="00AF6C3A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5919">
              <w:rPr>
                <w:rFonts w:ascii="Arial Narrow" w:hAnsi="Arial Narrow"/>
                <w:b/>
                <w:sz w:val="24"/>
                <w:szCs w:val="24"/>
              </w:rPr>
              <w:t>ПРИМЕДБА / КОМЕНТАР</w:t>
            </w:r>
          </w:p>
        </w:tc>
      </w:tr>
      <w:tr w:rsidR="0059327C" w:rsidRPr="001C5919" w14:paraId="6DB7B7B6" w14:textId="77777777">
        <w:trPr>
          <w:trHeight w:val="264"/>
        </w:trPr>
        <w:tc>
          <w:tcPr>
            <w:tcW w:w="909" w:type="dxa"/>
            <w:vAlign w:val="center"/>
          </w:tcPr>
          <w:p w14:paraId="6FF37B35" w14:textId="77777777" w:rsidR="0059327C" w:rsidRPr="001C5919" w:rsidRDefault="00EF62B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591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660" w:type="dxa"/>
            <w:shd w:val="clear" w:color="FFFFFF" w:fill="FFFFFF"/>
          </w:tcPr>
          <w:p w14:paraId="410EB3E2" w14:textId="77777777" w:rsidR="00496174" w:rsidRPr="001C5919" w:rsidRDefault="00496174" w:rsidP="00865BE1">
            <w:pPr>
              <w:pStyle w:val="TableParagraph"/>
              <w:ind w:left="102" w:right="184"/>
              <w:jc w:val="both"/>
              <w:rPr>
                <w:rFonts w:ascii="Arial Narrow" w:eastAsia="Segoe UI" w:hAnsi="Arial Narrow" w:cs="Segoe UI"/>
                <w:sz w:val="20"/>
                <w:szCs w:val="20"/>
              </w:rPr>
            </w:pP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Предлажемо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>да</w:t>
            </w:r>
            <w:r w:rsidRPr="001C5919">
              <w:rPr>
                <w:rFonts w:ascii="Arial Narrow" w:eastAsia="Segoe UI" w:hAnsi="Arial Narrow" w:cs="Segoe UI"/>
                <w:spacing w:val="-3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>се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између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опретора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траснпортног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система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Гастранс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д.о.о.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Нови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Сад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>и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 xml:space="preserve"> Транспортгас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Србија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д.о.о.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Нови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Сад</w:t>
            </w:r>
            <w:r w:rsidRPr="001C5919">
              <w:rPr>
                <w:rFonts w:ascii="Arial Narrow" w:eastAsia="Segoe UI" w:hAnsi="Arial Narrow" w:cs="Segoe UI"/>
                <w:spacing w:val="7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укине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тарифни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>елемент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„улаз транспортни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систем“,</w:t>
            </w:r>
            <w:r w:rsidRPr="001C5919">
              <w:rPr>
                <w:rFonts w:ascii="Arial Narrow" w:eastAsia="Times New Roman" w:hAnsi="Arial Narrow" w:cs="Times New Roman"/>
                <w:spacing w:val="167"/>
                <w:w w:val="99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 xml:space="preserve">као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>што</w:t>
            </w:r>
            <w:r w:rsidRPr="001C5919">
              <w:rPr>
                <w:rFonts w:ascii="Arial Narrow" w:eastAsia="Segoe UI" w:hAnsi="Arial Narrow" w:cs="Segoe UI"/>
                <w:spacing w:val="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je предвиђено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између опратора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транспортног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система</w:t>
            </w:r>
            <w:r w:rsidRPr="001C5919">
              <w:rPr>
                <w:rFonts w:ascii="Arial Narrow" w:eastAsia="Segoe UI" w:hAnsi="Arial Narrow" w:cs="Segoe UI"/>
                <w:spacing w:val="3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Yugorosgaz-Transport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d.o.o.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Niš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>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Транспортгас</w:t>
            </w:r>
            <w:r w:rsidRPr="001C5919">
              <w:rPr>
                <w:rFonts w:ascii="Arial Narrow" w:eastAsia="Segoe UI" w:hAnsi="Arial Narrow" w:cs="Segoe UI"/>
                <w:spacing w:val="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Србија д.о.о.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Нови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Сад, односно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>да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 xml:space="preserve"> улазна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тарифа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за тачку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ИП</w:t>
            </w:r>
            <w:r w:rsidRPr="001C5919">
              <w:rPr>
                <w:rFonts w:ascii="Arial Narrow" w:eastAsia="Segoe UI" w:hAnsi="Arial Narrow" w:cs="Segoe UI"/>
                <w:spacing w:val="149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 xml:space="preserve">Србија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у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Транспортгас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Србија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д.о.о.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Нови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Сад</w:t>
            </w:r>
            <w:r w:rsidRPr="001C5919">
              <w:rPr>
                <w:rFonts w:ascii="Arial Narrow" w:eastAsia="Segoe UI" w:hAnsi="Arial Narrow" w:cs="Segoe UI"/>
                <w:spacing w:val="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буде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0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 xml:space="preserve"> (нула)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динара/kWh/дан.</w:t>
            </w:r>
          </w:p>
          <w:p w14:paraId="6C17CED3" w14:textId="77777777" w:rsidR="00496174" w:rsidRPr="001C5919" w:rsidRDefault="00496174" w:rsidP="00865BE1">
            <w:pPr>
              <w:pStyle w:val="TableParagraph"/>
              <w:ind w:left="102" w:right="203"/>
              <w:jc w:val="both"/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</w:pP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>У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другом делу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овог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обрасца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предлажемо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конкретне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измене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предлога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текста</w:t>
            </w:r>
            <w:r w:rsidRPr="001C5919">
              <w:rPr>
                <w:rFonts w:ascii="Arial Narrow" w:eastAsia="Segoe UI" w:hAnsi="Arial Narrow" w:cs="Segoe UI"/>
                <w:spacing w:val="6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„Методологије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за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одређивање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цене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приступа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систему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за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транспорт</w:t>
            </w:r>
            <w:r w:rsidRPr="001C5919">
              <w:rPr>
                <w:rFonts w:ascii="Arial Narrow" w:eastAsia="Segoe UI" w:hAnsi="Arial Narrow" w:cs="Segoe UI"/>
                <w:spacing w:val="-4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природног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гаса“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(у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даљем</w:t>
            </w:r>
            <w:r w:rsidRPr="001C5919">
              <w:rPr>
                <w:rFonts w:ascii="Arial Narrow" w:eastAsia="Segoe UI" w:hAnsi="Arial Narrow" w:cs="Segoe UI"/>
                <w:spacing w:val="157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тексту Методологије).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Предложеном</w:t>
            </w:r>
            <w:r w:rsidRPr="001C5919">
              <w:rPr>
                <w:rFonts w:ascii="Arial Narrow" w:eastAsia="Segoe UI" w:hAnsi="Arial Narrow" w:cs="Segoe UI"/>
                <w:spacing w:val="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изменом</w:t>
            </w:r>
            <w:r w:rsidRPr="001C5919">
              <w:rPr>
                <w:rFonts w:ascii="Arial Narrow" w:eastAsia="Segoe UI" w:hAnsi="Arial Narrow" w:cs="Segoe UI"/>
                <w:spacing w:val="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не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би</w:t>
            </w:r>
            <w:r w:rsidRPr="001C5919">
              <w:rPr>
                <w:rFonts w:ascii="Arial Narrow" w:eastAsia="Segoe UI" w:hAnsi="Arial Narrow" w:cs="Segoe UI"/>
                <w:spacing w:val="3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било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реч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о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јединственом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улазно-излазном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систему,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већ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би сваки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ОТС достављао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предлог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тарифа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појединачно,</w:t>
            </w:r>
            <w:r w:rsidRPr="001C5919">
              <w:rPr>
                <w:rFonts w:ascii="Arial Narrow" w:eastAsia="Segoe UI" w:hAnsi="Arial Narrow" w:cs="Segoe UI"/>
                <w:spacing w:val="4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узимајући</w:t>
            </w:r>
            <w:r w:rsidRPr="001C5919">
              <w:rPr>
                <w:rFonts w:ascii="Arial Narrow" w:eastAsia="Segoe UI" w:hAnsi="Arial Narrow" w:cs="Segoe UI"/>
                <w:spacing w:val="163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у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обзир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одредбу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да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на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местима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повезивања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између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система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неће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бити тарифа.</w:t>
            </w:r>
          </w:p>
          <w:p w14:paraId="72FDC05E" w14:textId="77777777" w:rsidR="00442C1C" w:rsidRPr="00865BE1" w:rsidRDefault="00442C1C" w:rsidP="00DB11A6">
            <w:pPr>
              <w:spacing w:before="120" w:after="120" w:line="240" w:lineRule="auto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865BE1">
              <w:rPr>
                <w:rFonts w:ascii="Arial Narrow" w:hAnsi="Arial Narrow"/>
                <w:b/>
                <w:color w:val="00B050"/>
                <w:sz w:val="20"/>
                <w:szCs w:val="20"/>
              </w:rPr>
              <w:t>Одговор АЕРС:</w:t>
            </w:r>
          </w:p>
          <w:p w14:paraId="2A500188" w14:textId="158B10FD" w:rsidR="00876290" w:rsidRPr="00865BE1" w:rsidRDefault="00676DC4" w:rsidP="00DB11A6">
            <w:pPr>
              <w:spacing w:before="120" w:after="120" w:line="240" w:lineRule="auto"/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</w:pP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Агенција је, у складу са чланом 10. </w:t>
            </w:r>
            <w:r w:rsidR="00371E49" w:rsidRPr="00865BE1">
              <w:rPr>
                <w:rFonts w:ascii="Arial Narrow" w:hAnsi="Arial Narrow"/>
                <w:color w:val="00B050"/>
                <w:sz w:val="20"/>
                <w:szCs w:val="20"/>
              </w:rPr>
              <w:t>Уредбе о мрежним правилима о хармонизованим тарифама за транспорт природног гаса („Службени гласник РС“, број 112/22) - (у даљем тексту Уредба)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, утврдила Методологију за одређивање реферетне цене 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за транспорт природног гаса </w:t>
            </w:r>
            <w:r w:rsidR="00701462" w:rsidRPr="00865BE1">
              <w:rPr>
                <w:rFonts w:ascii="Arial Narrow" w:hAnsi="Arial Narrow"/>
                <w:color w:val="00B050"/>
                <w:sz w:val="20"/>
                <w:szCs w:val="20"/>
              </w:rPr>
              <w:t xml:space="preserve">(у даљем тексту Методологија) 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коју заједнички примењују </w:t>
            </w:r>
            <w:r w:rsidR="00FB3388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Транспортгас Србија д.о.о. и Yugorosgaz-transport d.o.o. 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тако што</w:t>
            </w:r>
            <w:r w:rsidR="00845FCE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су два транспорта система </w:t>
            </w:r>
            <w:r w:rsidR="004F6238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посматран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а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као целин</w:t>
            </w:r>
            <w:r w:rsidR="004F6238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а, 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а 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обавезна је 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приме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на 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механизам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а</w:t>
            </w:r>
            <w:r w:rsidR="004F6238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за компензацију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између ова два оператора транспортних система.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Заједничка примена Методологије омогућава да се 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корисницима транспортног система 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поједностави уговарање капацитета тако што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се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не наплаћују капацитети између два транспортна 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система на 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кој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е се 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примењуј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е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Методологиј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а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(не наплаћује их ни Транспортгас Србија д.о.о. ни Yugorosgaz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T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ransport d.o.o.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). Механизми за компензацију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се користе ради поравнавања разлика између прихода остварених применом цене приступа одређене за више транспортних система посматраних као целина и цена које се одређују у складу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са Методологијом за сваки транспортни систем појединачно. </w:t>
            </w:r>
          </w:p>
          <w:p w14:paraId="5F529E68" w14:textId="77777777" w:rsidR="00496174" w:rsidRPr="00865BE1" w:rsidRDefault="00876290" w:rsidP="00845FCE">
            <w:pPr>
              <w:spacing w:before="120" w:after="120" w:line="240" w:lineRule="auto"/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</w:pP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У члану 2. став 2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.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Уредбе је наведено да се она не примењује на део капацитета на улазни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м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односно изл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а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зним тачака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ма транспортног система на који се примењује режим изузећа од примене регулисаних цена које је одобрио АЕРС. Гастранс д.о.о. примењује своју 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M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етодологију 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за одређивање реферетне цене 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к</w:t>
            </w:r>
            <w:r w:rsidR="00D4595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оја се разликује од Методологије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за одређивање реферетне цене коју заједнички примењују Транспортгас Србија д.о.о. и Yugorosgaz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T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ransport d.o.o.  Због тога </w:t>
            </w:r>
            <w:r w:rsidR="001C031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се 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на тачкама интерконекције између Транспортгас Србија д.о.о. и  Гастранс д.о.о. не могу примењивати одредбе из Методологије кој</w:t>
            </w:r>
            <w:r w:rsidR="00845FCE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има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  <w:r w:rsidR="00845FCE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се транспортни системи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посматра</w:t>
            </w:r>
            <w:r w:rsidR="00845FCE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ју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као целина, јер се</w:t>
            </w:r>
            <w:r w:rsidR="00BF65B6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,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између осталог, не мо</w:t>
            </w:r>
            <w:r w:rsidR="00845FCE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же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применити механизам за компензацију између Транспортгас Србија д.о.о. и  Гастранс д.о.о. којим се поравнава разлика између прихода остварених применом цене приступа одређене за више транспортних система посматраних као целина и цена које се одређују у складу</w:t>
            </w:r>
            <w:r w:rsidR="00BF65B6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са Методологијом за сваки транспортни систем појединачно.</w:t>
            </w:r>
          </w:p>
          <w:p w14:paraId="70023A9D" w14:textId="77777777" w:rsidR="00701462" w:rsidRPr="00865BE1" w:rsidRDefault="00496174" w:rsidP="00845FCE">
            <w:pPr>
              <w:spacing w:before="120" w:after="120" w:line="240" w:lineRule="auto"/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</w:pP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На основу Уредб</w:t>
            </w:r>
            <w:r w:rsidR="0070146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е, капацитети се не наплаћују између два транспортна система само када 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Методологиј</w:t>
            </w:r>
            <w:r w:rsidR="00701462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у заједнички примењују два оператора транспортних система који истовремено примењују механизам за компензацију којим се поравнава разлика између прихода остварених применом цене приступа одређене за више транспортних система посматраних као целина и цена које се одређују у складу са Методологијом за сваки транспортни систем појединачно.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  <w:r w:rsidR="00F12AA5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  <w:r w:rsidR="00876290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 </w:t>
            </w:r>
          </w:p>
          <w:p w14:paraId="4EFB721C" w14:textId="75F456D4" w:rsidR="00442C1C" w:rsidRPr="00865BE1" w:rsidRDefault="00701462" w:rsidP="00845FCE">
            <w:pPr>
              <w:spacing w:before="120" w:after="120" w:line="240" w:lineRule="auto"/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</w:pP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С обзиром да предлог није прихваћен, неће бити промене </w:t>
            </w:r>
            <w:r w:rsidR="0052225E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текста у 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члановима Методологије</w:t>
            </w:r>
            <w:r w:rsidR="0052225E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на основу овог предлога</w:t>
            </w:r>
            <w:r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.</w:t>
            </w:r>
            <w:r w:rsidR="004F6238" w:rsidRPr="00865BE1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</w:p>
          <w:p w14:paraId="087DE3B7" w14:textId="77777777" w:rsidR="00496174" w:rsidRPr="001C5919" w:rsidRDefault="00496174" w:rsidP="00845FCE">
            <w:pPr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</w:rPr>
            </w:pPr>
          </w:p>
          <w:p w14:paraId="5A5799E4" w14:textId="3E766A0C" w:rsidR="00496174" w:rsidRPr="001C5919" w:rsidRDefault="00496174" w:rsidP="00845FCE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327C" w:rsidRPr="001C5919" w14:paraId="27FB9C7A" w14:textId="77777777">
        <w:tc>
          <w:tcPr>
            <w:tcW w:w="909" w:type="dxa"/>
            <w:vAlign w:val="center"/>
          </w:tcPr>
          <w:p w14:paraId="3C0FB2EF" w14:textId="77777777" w:rsidR="0059327C" w:rsidRPr="001C5919" w:rsidRDefault="00EF62B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5919"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60" w:type="dxa"/>
            <w:shd w:val="clear" w:color="auto" w:fill="FFFFFF"/>
          </w:tcPr>
          <w:p w14:paraId="7CDF9A43" w14:textId="77777777" w:rsidR="00496174" w:rsidRPr="001C5919" w:rsidRDefault="00496174" w:rsidP="00496174">
            <w:pPr>
              <w:pStyle w:val="TableParagraph"/>
              <w:ind w:left="102" w:right="194"/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</w:pP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Предлажемо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>да</w:t>
            </w:r>
            <w:r w:rsidRPr="001C5919">
              <w:rPr>
                <w:rFonts w:ascii="Arial Narrow" w:eastAsia="Segoe UI" w:hAnsi="Arial Narrow" w:cs="Segoe UI"/>
                <w:spacing w:val="-2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тарифни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елементи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„улаз складиште“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и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 xml:space="preserve"> „излаз складиште“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буду</w:t>
            </w:r>
            <w:r w:rsidRPr="001C5919">
              <w:rPr>
                <w:rFonts w:ascii="Arial Narrow" w:eastAsia="Segoe UI" w:hAnsi="Arial Narrow" w:cs="Segoe UI"/>
                <w:spacing w:val="5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>0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 xml:space="preserve"> (нула)</w:t>
            </w:r>
            <w:r w:rsidRPr="001C5919">
              <w:rPr>
                <w:rFonts w:ascii="Arial Narrow" w:eastAsia="Segoe UI" w:hAnsi="Arial Narrow" w:cs="Segoe UI"/>
                <w:spacing w:val="-4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динара/kWh/дан.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У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другом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делу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овог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 xml:space="preserve"> обрасца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предлажемо</w:t>
            </w:r>
            <w:r w:rsidRPr="001C5919">
              <w:rPr>
                <w:rFonts w:ascii="Arial Narrow" w:eastAsia="Segoe UI" w:hAnsi="Arial Narrow" w:cs="Segoe UI"/>
                <w:spacing w:val="1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конкретне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измене</w:t>
            </w:r>
            <w:r w:rsidRPr="001C5919">
              <w:rPr>
                <w:rFonts w:ascii="Arial Narrow" w:eastAsia="Segoe UI" w:hAnsi="Arial Narrow" w:cs="Segoe UI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предлога</w:t>
            </w:r>
            <w:r w:rsidRPr="001C5919">
              <w:rPr>
                <w:rFonts w:ascii="Arial Narrow" w:eastAsia="Segoe UI" w:hAnsi="Arial Narrow" w:cs="Segoe UI"/>
                <w:spacing w:val="159"/>
                <w:sz w:val="20"/>
                <w:szCs w:val="20"/>
              </w:rPr>
              <w:t xml:space="preserve"> </w:t>
            </w:r>
            <w:r w:rsidRPr="001C5919">
              <w:rPr>
                <w:rFonts w:ascii="Arial Narrow" w:eastAsia="Segoe UI" w:hAnsi="Arial Narrow" w:cs="Segoe UI"/>
                <w:spacing w:val="-1"/>
                <w:sz w:val="20"/>
                <w:szCs w:val="20"/>
              </w:rPr>
              <w:t>текста Методологије.</w:t>
            </w:r>
          </w:p>
          <w:p w14:paraId="75245529" w14:textId="77777777" w:rsidR="007E2B07" w:rsidRPr="009D77D2" w:rsidRDefault="007E2B07" w:rsidP="007E2B07">
            <w:pPr>
              <w:spacing w:before="120" w:after="120" w:line="240" w:lineRule="auto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9D77D2">
              <w:rPr>
                <w:rFonts w:ascii="Arial Narrow" w:hAnsi="Arial Narrow"/>
                <w:b/>
                <w:color w:val="00B050"/>
                <w:sz w:val="20"/>
                <w:szCs w:val="20"/>
              </w:rPr>
              <w:t>Одговор АЕРС:</w:t>
            </w:r>
          </w:p>
          <w:p w14:paraId="4C4AF068" w14:textId="72CEE04A" w:rsidR="00371E49" w:rsidRPr="009D77D2" w:rsidRDefault="00371E49" w:rsidP="00371E49">
            <w:pPr>
              <w:spacing w:before="120" w:after="120" w:line="240" w:lineRule="auto"/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</w:pP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>Уредба у члану 9. дефинише да Агенција у Методологији одређује попуст од најмање 50% који се примењује на тарифе за транспорт засноване на капацитету на улазним тачкама из складишта и излазним тачкама у складишта природног гаса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.</w:t>
            </w:r>
          </w:p>
          <w:p w14:paraId="71F5A563" w14:textId="77777777" w:rsidR="00371E49" w:rsidRPr="009D77D2" w:rsidRDefault="00371E49" w:rsidP="00371E49">
            <w:pPr>
              <w:spacing w:before="120" w:after="120" w:line="240" w:lineRule="auto"/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</w:pP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АЕРС је у Методологији одредио попуст у складу са чланом 9. Уредбе. </w:t>
            </w:r>
          </w:p>
          <w:p w14:paraId="7B94CF3F" w14:textId="4737E856" w:rsidR="00395F20" w:rsidRPr="009D77D2" w:rsidRDefault="00395F20" w:rsidP="001A59C3">
            <w:pPr>
              <w:spacing w:before="120" w:after="120" w:line="240" w:lineRule="auto"/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>Попусти за тарифе за капацитет на транспортном систему на улазним тачакама из, и излазним тачкама у подземна складишта природног гаса се разлику</w:t>
            </w:r>
            <w:r w:rsidR="00BD5D15" w:rsidRPr="009D77D2">
              <w:rPr>
                <w:rFonts w:ascii="Arial Narrow" w:hAnsi="Arial Narrow"/>
                <w:color w:val="00B050"/>
                <w:sz w:val="20"/>
                <w:szCs w:val="20"/>
              </w:rPr>
              <w:t>ју</w:t>
            </w: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 xml:space="preserve"> по земљама Е</w:t>
            </w:r>
            <w:r w:rsidR="00BF65B6" w:rsidRPr="009D77D2">
              <w:rPr>
                <w:rFonts w:ascii="Arial Narrow" w:hAnsi="Arial Narrow"/>
                <w:color w:val="00B050"/>
                <w:sz w:val="20"/>
                <w:szCs w:val="20"/>
              </w:rPr>
              <w:t>У у окружењу. Мађарска, Хрватска и Бугарска</w:t>
            </w: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 xml:space="preserve"> имају 100% попуста на транспортне тарифе за капацитет на  излазним тачкама у подземна складишта природног гаса и попуст од 100% (Бугарска) или 90% (Мађарска</w:t>
            </w:r>
            <w:r w:rsidR="00BF65B6" w:rsidRPr="009D77D2">
              <w:rPr>
                <w:rFonts w:ascii="Arial Narrow" w:hAnsi="Arial Narrow"/>
                <w:color w:val="00B050"/>
                <w:sz w:val="20"/>
                <w:szCs w:val="20"/>
              </w:rPr>
              <w:t xml:space="preserve"> и Хрватска</w:t>
            </w: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 xml:space="preserve">) на транспортне тарифе за капацитет на улазним тачакама из подземних складишта природног гаса. </w:t>
            </w:r>
          </w:p>
          <w:p w14:paraId="16DFAE82" w14:textId="49E5A8B7" w:rsidR="00CA23B5" w:rsidRPr="009D77D2" w:rsidRDefault="00BD5D15" w:rsidP="00BD5D15">
            <w:p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</w:pP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 xml:space="preserve">Транспортни системи за природни гас у Србији су повезани са транспортним системима Мађарске и Бугарске тако да попусти у Србији </w:t>
            </w:r>
            <w:r w:rsidR="00BF65B6" w:rsidRPr="009D77D2">
              <w:rPr>
                <w:rFonts w:ascii="Arial Narrow" w:hAnsi="Arial Narrow"/>
                <w:color w:val="00B050"/>
                <w:sz w:val="20"/>
                <w:szCs w:val="20"/>
              </w:rPr>
              <w:t xml:space="preserve">за тарифе за капацитет на транспортном систему на улазним тачакама из, и излазним тачкама у подземна складишта природног гаса </w:t>
            </w: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 xml:space="preserve">треба да буду слични попустима у Мађарској и Бугарској. </w:t>
            </w:r>
          </w:p>
          <w:p w14:paraId="06E677B8" w14:textId="0AE9FFAC" w:rsidR="007E2B07" w:rsidRPr="009D77D2" w:rsidRDefault="00D45952" w:rsidP="00EC0A18">
            <w:pPr>
              <w:spacing w:before="120" w:after="120" w:line="240" w:lineRule="auto"/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С обзиром на значајне промене у изворима</w:t>
            </w:r>
            <w:r w:rsidR="005902D5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и</w:t>
            </w:r>
            <w:r w:rsidR="00EC0A18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прав</w:t>
            </w:r>
            <w:r w:rsidR="00EC0A18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цима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снабдевања и велик</w:t>
            </w:r>
            <w:r w:rsidR="00BC5829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a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повећањ</w:t>
            </w:r>
            <w:r w:rsidR="00BC5829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a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цена природног гаса у претходним годинама</w:t>
            </w:r>
            <w:r w:rsidR="00EC0A18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у Европи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, с</w:t>
            </w:r>
            <w:r w:rsidR="00BD5D15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игурност снабдевања приро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дним гасом је изузетно значајно питање ка</w:t>
            </w:r>
            <w:r w:rsidR="00DB5B6F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к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о за Србију, тако и за земље у окружењу. Са циљем да се стимулише повећање капацитета ПСГ Банатски Двор</w:t>
            </w:r>
            <w:r w:rsidR="00BF65B6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и тиме </w:t>
            </w:r>
            <w:r w:rsidR="00780224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повећа </w:t>
            </w:r>
            <w:r w:rsidR="00BF65B6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сигурност снабдевања природним гасом у Србији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, утврђ</w:t>
            </w:r>
            <w:r w:rsidR="00BF65B6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ен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  <w:r w:rsidR="00BF65B6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је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попуст од </w:t>
            </w:r>
            <w:r w:rsidR="00845FCE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90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% </w:t>
            </w: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 xml:space="preserve">на транспортне тарифе за капацитет на  излазним тачкама у подземна складишта природног гаса и попуст од </w:t>
            </w:r>
            <w:r w:rsidR="00845FCE" w:rsidRPr="009D77D2">
              <w:rPr>
                <w:rFonts w:ascii="Arial Narrow" w:hAnsi="Arial Narrow"/>
                <w:color w:val="00B050"/>
                <w:sz w:val="20"/>
                <w:szCs w:val="20"/>
              </w:rPr>
              <w:t>90</w:t>
            </w:r>
            <w:r w:rsidRPr="009D77D2">
              <w:rPr>
                <w:rFonts w:ascii="Arial Narrow" w:hAnsi="Arial Narrow"/>
                <w:color w:val="00B050"/>
                <w:sz w:val="20"/>
                <w:szCs w:val="20"/>
              </w:rPr>
              <w:t>% на транспортне тарифе за капацитет на улазним тачакама из подземних складишта природног гаса.</w:t>
            </w:r>
          </w:p>
          <w:p w14:paraId="1E366634" w14:textId="0AA209E4" w:rsidR="00701462" w:rsidRPr="001C5919" w:rsidRDefault="00701462" w:rsidP="0052225E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У складу са променом, у Методологији </w:t>
            </w:r>
            <w:r w:rsidR="005C7308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је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у тачки VI.1.1.7 коригован</w:t>
            </w:r>
            <w:r w:rsidR="0052225E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а вредност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  <w:r w:rsidR="0052225E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коефицијента попуста улаз складиште (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КПУ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vertAlign w:val="subscript"/>
              </w:rPr>
              <w:t>ск</w:t>
            </w:r>
            <w:r w:rsidR="0052225E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) и у тачки VI.1.2.7 </w:t>
            </w:r>
            <w:r w:rsidR="005C7308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је</w:t>
            </w:r>
            <w:r w:rsidR="0052225E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коригована вредност коефицијента попуста за излаз у складиште (КПИ</w:t>
            </w:r>
            <w:r w:rsidR="0052225E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vertAlign w:val="subscript"/>
              </w:rPr>
              <w:t>ск</w:t>
            </w:r>
            <w:r w:rsidR="0052225E"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).</w:t>
            </w:r>
            <w:r w:rsidRPr="009D77D2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 xml:space="preserve"> </w:t>
            </w:r>
          </w:p>
        </w:tc>
      </w:tr>
    </w:tbl>
    <w:p w14:paraId="215B4591" w14:textId="77777777" w:rsidR="0059327C" w:rsidRPr="001C5919" w:rsidRDefault="0059327C">
      <w:pPr>
        <w:spacing w:before="120" w:after="0" w:line="240" w:lineRule="auto"/>
        <w:rPr>
          <w:rFonts w:ascii="Arial Narrow" w:hAnsi="Arial Narrow"/>
          <w:sz w:val="24"/>
          <w:szCs w:val="24"/>
        </w:rPr>
        <w:sectPr w:rsidR="0059327C" w:rsidRPr="001C5919">
          <w:footerReference w:type="default" r:id="rId7"/>
          <w:footerReference w:type="first" r:id="rId8"/>
          <w:pgSz w:w="16838" w:h="11906" w:orient="landscape"/>
          <w:pgMar w:top="720" w:right="720" w:bottom="1202" w:left="720" w:header="720" w:footer="482" w:gutter="0"/>
          <w:pgBorders>
            <w:top w:val="single" w:sz="4" w:space="12" w:color="000000"/>
            <w:left w:val="single" w:sz="4" w:space="12" w:color="000000"/>
            <w:bottom w:val="single" w:sz="4" w:space="0" w:color="000000"/>
            <w:right w:val="single" w:sz="4" w:space="12" w:color="000000"/>
          </w:pgBorders>
          <w:pgNumType w:start="1"/>
          <w:cols w:space="720"/>
          <w:docGrid w:linePitch="360"/>
        </w:sectPr>
      </w:pPr>
    </w:p>
    <w:p w14:paraId="18433A1D" w14:textId="77777777" w:rsidR="0059327C" w:rsidRDefault="0059327C" w:rsidP="0052225E">
      <w:pPr>
        <w:spacing w:before="120" w:after="0" w:line="240" w:lineRule="auto"/>
        <w:rPr>
          <w:rFonts w:ascii="Arial Narrow" w:hAnsi="Arial Narrow"/>
          <w:color w:val="002060"/>
          <w:sz w:val="24"/>
          <w:szCs w:val="24"/>
        </w:rPr>
      </w:pPr>
    </w:p>
    <w:sectPr w:rsidR="0059327C">
      <w:footerReference w:type="default" r:id="rId9"/>
      <w:pgSz w:w="16838" w:h="11906" w:orient="landscape"/>
      <w:pgMar w:top="720" w:right="720" w:bottom="1200" w:left="720" w:header="720" w:footer="480" w:gutter="0"/>
      <w:pgBorders>
        <w:top w:val="single" w:sz="4" w:space="12" w:color="000000"/>
        <w:left w:val="single" w:sz="4" w:space="12" w:color="000000"/>
        <w:bottom w:val="single" w:sz="4" w:space="0" w:color="000000"/>
        <w:right w:val="single" w:sz="4" w:space="12" w:color="00000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C398" w14:textId="77777777" w:rsidR="00797294" w:rsidRPr="001C5919" w:rsidRDefault="00797294">
      <w:pPr>
        <w:spacing w:after="0" w:line="240" w:lineRule="auto"/>
      </w:pPr>
      <w:r w:rsidRPr="001C5919">
        <w:separator/>
      </w:r>
    </w:p>
  </w:endnote>
  <w:endnote w:type="continuationSeparator" w:id="0">
    <w:p w14:paraId="56BF4058" w14:textId="77777777" w:rsidR="00797294" w:rsidRPr="001C5919" w:rsidRDefault="00797294">
      <w:pPr>
        <w:spacing w:after="0" w:line="240" w:lineRule="auto"/>
      </w:pPr>
      <w:r w:rsidRPr="001C59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8986" w14:textId="4B66E41C" w:rsidR="00BD5D15" w:rsidRPr="001C5919" w:rsidRDefault="00BD5D15" w:rsidP="0054230D">
    <w:pPr>
      <w:pStyle w:val="Footer"/>
      <w:jc w:val="center"/>
      <w:rPr>
        <w:rFonts w:ascii="Arial Narrow" w:hAnsi="Arial Narrow" w:cs="Arial Narrow"/>
      </w:rPr>
    </w:pPr>
    <w:r w:rsidRPr="001C5919">
      <w:rPr>
        <w:rFonts w:ascii="Arial Narrow" w:eastAsia="Arial Narrow" w:hAnsi="Arial Narrow" w:cs="Arial Narrow"/>
      </w:rPr>
      <w:fldChar w:fldCharType="begin"/>
    </w:r>
    <w:r w:rsidRPr="001C5919">
      <w:rPr>
        <w:rFonts w:ascii="Arial Narrow" w:eastAsia="Arial Narrow" w:hAnsi="Arial Narrow" w:cs="Arial Narrow"/>
      </w:rPr>
      <w:instrText>PAGE \* MERGEFORMAT</w:instrText>
    </w:r>
    <w:r w:rsidRPr="001C5919">
      <w:rPr>
        <w:rFonts w:ascii="Arial Narrow" w:eastAsia="Arial Narrow" w:hAnsi="Arial Narrow" w:cs="Arial Narrow"/>
      </w:rPr>
      <w:fldChar w:fldCharType="separate"/>
    </w:r>
    <w:r w:rsidR="00BC5829" w:rsidRPr="001C5919">
      <w:rPr>
        <w:rFonts w:ascii="Arial Narrow" w:eastAsia="Arial Narrow" w:hAnsi="Arial Narrow" w:cs="Arial Narrow"/>
      </w:rPr>
      <w:t>2</w:t>
    </w:r>
    <w:r w:rsidRPr="001C5919">
      <w:rPr>
        <w:rFonts w:ascii="Arial Narrow" w:eastAsia="Arial Narrow" w:hAnsi="Arial Narrow" w:cs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9588" w14:textId="77777777" w:rsidR="00BD5D15" w:rsidRPr="001C5919" w:rsidRDefault="00BD5D15">
    <w:pPr>
      <w:pStyle w:val="Footer"/>
      <w:jc w:val="center"/>
      <w:rPr>
        <w:rFonts w:ascii="Arial Narrow" w:hAnsi="Arial Narrow" w:cs="Arial Narrow"/>
      </w:rPr>
    </w:pPr>
    <w:r w:rsidRPr="001C5919">
      <w:rPr>
        <w:rFonts w:ascii="Arial Narrow" w:eastAsia="Arial Narrow" w:hAnsi="Arial Narrow" w:cs="Arial Narrow"/>
      </w:rPr>
      <w:fldChar w:fldCharType="begin"/>
    </w:r>
    <w:r w:rsidRPr="001C5919">
      <w:rPr>
        <w:rFonts w:ascii="Arial Narrow" w:eastAsia="Arial Narrow" w:hAnsi="Arial Narrow" w:cs="Arial Narrow"/>
      </w:rPr>
      <w:instrText>PAGE \* MERGEFORMAT</w:instrText>
    </w:r>
    <w:r w:rsidRPr="001C5919">
      <w:rPr>
        <w:rFonts w:ascii="Arial Narrow" w:eastAsia="Arial Narrow" w:hAnsi="Arial Narrow" w:cs="Arial Narrow"/>
      </w:rPr>
      <w:fldChar w:fldCharType="separate"/>
    </w:r>
    <w:r w:rsidRPr="001C5919">
      <w:rPr>
        <w:rFonts w:ascii="Arial Narrow" w:eastAsia="Arial Narrow" w:hAnsi="Arial Narrow" w:cs="Arial Narrow"/>
      </w:rPr>
      <w:t>1</w:t>
    </w:r>
    <w:r w:rsidRPr="001C5919">
      <w:rPr>
        <w:rFonts w:ascii="Arial Narrow" w:eastAsia="Arial Narrow" w:hAnsi="Arial Narrow" w:cs="Arial Narrow"/>
      </w:rPr>
      <w:fldChar w:fldCharType="end"/>
    </w:r>
  </w:p>
  <w:p w14:paraId="1F13720D" w14:textId="77777777" w:rsidR="00BD5D15" w:rsidRPr="001C5919" w:rsidRDefault="00BD5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DB85" w14:textId="77777777" w:rsidR="00BD5D15" w:rsidRPr="001C5919" w:rsidRDefault="00BD5D15">
    <w:pPr>
      <w:pStyle w:val="Footer"/>
      <w:jc w:val="center"/>
      <w:rPr>
        <w:rFonts w:ascii="Arial Narrow" w:hAnsi="Arial Narrow" w:cs="Arial Narrow"/>
      </w:rPr>
    </w:pPr>
    <w:r w:rsidRPr="001C5919">
      <w:rPr>
        <w:rFonts w:ascii="Arial Narrow" w:hAnsi="Arial Narrow" w:cs="Arial Narrow"/>
      </w:rPr>
      <w:t>2</w:t>
    </w:r>
  </w:p>
  <w:p w14:paraId="4D4B6BD6" w14:textId="77777777" w:rsidR="00BD5D15" w:rsidRPr="001C5919" w:rsidRDefault="00BD5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5285" w14:textId="77777777" w:rsidR="00797294" w:rsidRPr="001C5919" w:rsidRDefault="00797294">
      <w:pPr>
        <w:spacing w:after="0" w:line="240" w:lineRule="auto"/>
      </w:pPr>
      <w:r w:rsidRPr="001C5919">
        <w:separator/>
      </w:r>
    </w:p>
  </w:footnote>
  <w:footnote w:type="continuationSeparator" w:id="0">
    <w:p w14:paraId="33152F58" w14:textId="77777777" w:rsidR="00797294" w:rsidRPr="001C5919" w:rsidRDefault="00797294">
      <w:pPr>
        <w:spacing w:after="0" w:line="240" w:lineRule="auto"/>
      </w:pPr>
      <w:r w:rsidRPr="001C591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7C"/>
    <w:rsid w:val="0008772D"/>
    <w:rsid w:val="000909AF"/>
    <w:rsid w:val="000D4B53"/>
    <w:rsid w:val="001A59C3"/>
    <w:rsid w:val="001C0310"/>
    <w:rsid w:val="001C5919"/>
    <w:rsid w:val="001F5218"/>
    <w:rsid w:val="00282FBB"/>
    <w:rsid w:val="00327014"/>
    <w:rsid w:val="00342C1D"/>
    <w:rsid w:val="00371E49"/>
    <w:rsid w:val="00395F20"/>
    <w:rsid w:val="003C1015"/>
    <w:rsid w:val="00442C1C"/>
    <w:rsid w:val="00496174"/>
    <w:rsid w:val="004B727C"/>
    <w:rsid w:val="004C5148"/>
    <w:rsid w:val="004F6238"/>
    <w:rsid w:val="0052225E"/>
    <w:rsid w:val="005272C3"/>
    <w:rsid w:val="0054230D"/>
    <w:rsid w:val="005711D9"/>
    <w:rsid w:val="005902D5"/>
    <w:rsid w:val="0059327C"/>
    <w:rsid w:val="005A153F"/>
    <w:rsid w:val="005C7308"/>
    <w:rsid w:val="005F5054"/>
    <w:rsid w:val="00602EBD"/>
    <w:rsid w:val="00641917"/>
    <w:rsid w:val="0066283E"/>
    <w:rsid w:val="00676DC4"/>
    <w:rsid w:val="006B6BB8"/>
    <w:rsid w:val="00701462"/>
    <w:rsid w:val="00734171"/>
    <w:rsid w:val="00735157"/>
    <w:rsid w:val="00780224"/>
    <w:rsid w:val="00797294"/>
    <w:rsid w:val="007E2B07"/>
    <w:rsid w:val="00812BF3"/>
    <w:rsid w:val="00845FCE"/>
    <w:rsid w:val="0086446B"/>
    <w:rsid w:val="00865BE1"/>
    <w:rsid w:val="008722AB"/>
    <w:rsid w:val="00876290"/>
    <w:rsid w:val="009C00A1"/>
    <w:rsid w:val="009D77D2"/>
    <w:rsid w:val="009E6DD4"/>
    <w:rsid w:val="00AF6C3A"/>
    <w:rsid w:val="00B43776"/>
    <w:rsid w:val="00BC5829"/>
    <w:rsid w:val="00BD5D15"/>
    <w:rsid w:val="00BF65B6"/>
    <w:rsid w:val="00C208E9"/>
    <w:rsid w:val="00C75C8F"/>
    <w:rsid w:val="00CA23B5"/>
    <w:rsid w:val="00D01288"/>
    <w:rsid w:val="00D1164F"/>
    <w:rsid w:val="00D45952"/>
    <w:rsid w:val="00D83777"/>
    <w:rsid w:val="00DB11A6"/>
    <w:rsid w:val="00DB3548"/>
    <w:rsid w:val="00DB5B6F"/>
    <w:rsid w:val="00E76516"/>
    <w:rsid w:val="00E939A8"/>
    <w:rsid w:val="00EA2B84"/>
    <w:rsid w:val="00EC0A18"/>
    <w:rsid w:val="00EF62B4"/>
    <w:rsid w:val="00F12AA5"/>
    <w:rsid w:val="00F339EA"/>
    <w:rsid w:val="00FB3388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C1066"/>
  <w15:docId w15:val="{A16D2CEB-F103-4371-AE69-24D37732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sr-Cyrl-R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CaptionChar">
    <w:name w:val="Caption Cha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CharChar1">
    <w:name w:val="Char Char1"/>
    <w:rPr>
      <w:sz w:val="22"/>
      <w:szCs w:val="22"/>
    </w:rPr>
  </w:style>
  <w:style w:type="character" w:customStyle="1" w:styleId="CharChar">
    <w:name w:val="Cha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ar-SA"/>
    </w:rPr>
  </w:style>
  <w:style w:type="character" w:customStyle="1" w:styleId="FooterChar1">
    <w:name w:val="Footer Char1"/>
    <w:link w:val="Footer"/>
    <w:uiPriority w:val="99"/>
    <w:rPr>
      <w:rFonts w:ascii="Calibri" w:eastAsia="Calibri" w:hAnsi="Calibri"/>
      <w:sz w:val="22"/>
      <w:szCs w:val="22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4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4171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734171"/>
  </w:style>
  <w:style w:type="character" w:styleId="CommentReference">
    <w:name w:val="annotation reference"/>
    <w:basedOn w:val="DefaultParagraphFont"/>
    <w:uiPriority w:val="99"/>
    <w:semiHidden/>
    <w:unhideWhenUsed/>
    <w:rsid w:val="00DB5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6F"/>
    <w:rPr>
      <w:rFonts w:ascii="Calibri" w:eastAsia="Calibri" w:hAnsi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6F"/>
    <w:rPr>
      <w:rFonts w:ascii="Calibri" w:eastAsia="Calibri" w:hAnsi="Calibri"/>
      <w:b/>
      <w:bCs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496174"/>
    <w:pPr>
      <w:widowControl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rs@aers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АЕРС  -  Јавна консултација о предлогу акта</vt:lpstr>
    </vt:vector>
  </TitlesOfParts>
  <Company>AERS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АЕРС  -  Јавна консултација о предлогу акта</dc:title>
  <dc:creator>Dijana Unkovic</dc:creator>
  <cp:lastModifiedBy>AERS</cp:lastModifiedBy>
  <cp:revision>11</cp:revision>
  <dcterms:created xsi:type="dcterms:W3CDTF">2024-06-13T08:44:00Z</dcterms:created>
  <dcterms:modified xsi:type="dcterms:W3CDTF">2025-02-06T11:50:00Z</dcterms:modified>
  <cp:version>983040</cp:version>
</cp:coreProperties>
</file>